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9857B9" w:rsidRDefault="009857B9" w:rsidP="009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4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57B9" w:rsidRPr="00916BC0" w:rsidRDefault="009857B9" w:rsidP="009857B9">
      <w:pPr>
        <w:spacing w:after="0" w:line="240" w:lineRule="auto"/>
        <w:jc w:val="center"/>
        <w:rPr>
          <w:b/>
        </w:rPr>
      </w:pPr>
      <w:r w:rsidRPr="009555FD">
        <w:rPr>
          <w:rFonts w:ascii="Times New Roman" w:hAnsi="Times New Roman"/>
          <w:b/>
          <w:sz w:val="24"/>
          <w:szCs w:val="24"/>
        </w:rPr>
        <w:t>на проведени</w:t>
      </w:r>
      <w:r>
        <w:rPr>
          <w:rFonts w:ascii="Times New Roman" w:hAnsi="Times New Roman"/>
          <w:b/>
          <w:sz w:val="24"/>
          <w:szCs w:val="24"/>
        </w:rPr>
        <w:t xml:space="preserve">е работ по капитальному ремонту </w:t>
      </w:r>
      <w:r w:rsidRPr="00916B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фасада многоквартирного жилого дома по адресу: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Костромская область, г. Мантурово, переулок Градулевский д. 12а</w:t>
      </w:r>
    </w:p>
    <w:p w:rsidR="009857B9" w:rsidRPr="009555FD" w:rsidRDefault="009857B9" w:rsidP="009857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5"/>
      </w:tblGrid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одноэтажный</w:t>
            </w:r>
            <w:r w:rsidRPr="00C1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Мантурово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Градулевский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774">
              <w:rPr>
                <w:rFonts w:ascii="Times New Roman" w:hAnsi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774">
              <w:rPr>
                <w:rFonts w:ascii="Times New Roman" w:hAnsi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F933CB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F933CB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774">
              <w:rPr>
                <w:rFonts w:ascii="Times New Roman" w:hAnsi="Times New Roman"/>
              </w:rPr>
              <w:t xml:space="preserve">247 670 </w:t>
            </w:r>
            <w:r w:rsidRPr="005D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9857B9" w:rsidRPr="009555FD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2A3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2A3957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Костромская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Мантурово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переулок Градулевский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12а.</w:t>
      </w:r>
    </w:p>
    <w:p w:rsidR="009857B9" w:rsidRPr="00F53F95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выполнении </w:t>
      </w:r>
      <w:r w:rsidRPr="009B56A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Pr="009B56A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7B9" w:rsidRPr="002A3957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действующие </w:t>
      </w:r>
      <w:r w:rsidRPr="002A3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МДС, ВСН;</w:t>
      </w:r>
    </w:p>
    <w:p w:rsidR="009857B9" w:rsidRPr="009B56AA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56A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/>
          <w:sz w:val="24"/>
          <w:szCs w:val="24"/>
        </w:rPr>
        <w:t>д</w:t>
      </w:r>
      <w:r w:rsidRPr="009B56AA">
        <w:rPr>
          <w:rFonts w:ascii="Times New Roman" w:hAnsi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9857B9" w:rsidRPr="00F53F95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соблюдение правил пожарной безопасности, охраны труда и 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санитарно-гигиенического режима, назначается приказом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/>
          <w:sz w:val="24"/>
          <w:szCs w:val="24"/>
          <w:lang w:eastAsia="ru-RU"/>
        </w:rPr>
        <w:t>фиксацией.</w:t>
      </w:r>
    </w:p>
    <w:p w:rsidR="009857B9" w:rsidRPr="00730096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Особые условия: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фундаментов</w:t>
      </w:r>
      <w:r w:rsidRPr="00730096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деталировкой узлов.</w:t>
      </w:r>
    </w:p>
    <w:p w:rsidR="009857B9" w:rsidRPr="00730096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9857B9" w:rsidRPr="002C6B10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9857B9" w:rsidRPr="00943393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7B9" w:rsidRPr="00AD0CDD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7B9" w:rsidRPr="00BB29C2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9857B9" w:rsidRPr="008A5774" w:rsidTr="00FA17E8">
        <w:trPr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857B9" w:rsidRPr="008A5774" w:rsidTr="00FA17E8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57B9" w:rsidRPr="008A5774" w:rsidTr="00FA17E8">
        <w:trPr>
          <w:gridAfter w:val="1"/>
          <w:wAfter w:w="20" w:type="dxa"/>
          <w:cantSplit/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ФАСАД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57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57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  <w:trHeight w:val="5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774">
              <w:rPr>
                <w:color w:val="000000"/>
              </w:rPr>
              <w:t>Разборка обшивки неоштукатуренных деревянных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106,01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Смена венцов в стенах из бревен окладных диаметром </w:t>
            </w:r>
            <w:smartTag w:uri="urn:schemas-microsoft-com:office:smarttags" w:element="metricconverter">
              <w:smartTagPr>
                <w:attr w:name="ProductID" w:val="270 мм"/>
              </w:smartTagPr>
              <w:r w:rsidRPr="008A5774">
                <w:rPr>
                  <w:color w:val="000000"/>
                </w:rPr>
                <w:t>270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36,2</w:t>
            </w:r>
          </w:p>
        </w:tc>
      </w:tr>
      <w:tr w:rsidR="009857B9" w:rsidRPr="008A5774" w:rsidTr="00FA17E8">
        <w:trPr>
          <w:gridAfter w:val="1"/>
          <w:wAfter w:w="20" w:type="dxa"/>
          <w:cantSplit/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Разборка гидроизоляции стен, фундаментов горизонтальная оклеечная в 2 слоя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19,91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Гидроизоляция стен, фундаментов горизонтальная оклеечная в 2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19,91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174,03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Улучшенная окраска масляными составами по дереву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174,03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8A5774">
                <w:rPr>
                  <w:color w:val="000000"/>
                </w:rPr>
                <w:t>16 м</w:t>
              </w:r>
            </w:smartTag>
            <w:r w:rsidRPr="008A5774">
              <w:rPr>
                <w:color w:val="000000"/>
              </w:rPr>
              <w:t xml:space="preserve"> трубчатых для прочих отделочных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178,44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ОКНА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Разборка деревянных заполнений проемов оконных с подоконными досками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0,9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блоков оконных пластиковых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Установка подоконных досок из ПВХ в каменных стенах толщиной свыше </w:t>
            </w:r>
            <w:smartTag w:uri="urn:schemas-microsoft-com:office:smarttags" w:element="metricconverter">
              <w:smartTagPr>
                <w:attr w:name="ProductID" w:val="0,51 м"/>
              </w:smartTagPr>
              <w:r w:rsidRPr="008A5774">
                <w:t>0,51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1,36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0,27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Установка отливов на окнах из оцинкованной стали толщиной </w:t>
            </w:r>
            <w:smartTag w:uri="urn:schemas-microsoft-com:office:smarttags" w:element="metricconverter">
              <w:smartTagPr>
                <w:attr w:name="ProductID" w:val="0,55 мм"/>
              </w:smartTagPr>
              <w:r w:rsidRPr="008A5774">
                <w:t>0,55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1,04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DB2A6B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ДВЕРИ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Разборка деревянных заполнений проемов дверных и воротных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13,71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металлических дверных блоков в готовые проемы:   ДПМ-01/60, размером 1100х2100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2,31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дверного доводчика к металлическим дверям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замка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ворот с коробками деревянными, утепленными полотнами и калитками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9,46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Заполнение наружных и внутренних дверных проемов отдельными элементами в деревянных рубленых стенах, площадь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8A5774">
                <w:t>2 м2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1,94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Улучшенная окраска масляными составами по дереву заполнений дверных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30,78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ЦОКОЛЬ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Отбивка штукатурки с поверхностей стен и потолков кирпичных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Штукатурка по сетке без устройства каркаса улучшенная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Огрунтовка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Шпатлевка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Окраска перхлорвиниловыми красками по подготовленной поверхности фасадов простых за 2 раза с земли и лесов (цоколь)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Установка отливов из оцинкованной стали толщиной  </w:t>
            </w:r>
            <w:smartTag w:uri="urn:schemas-microsoft-com:office:smarttags" w:element="metricconverter">
              <w:smartTagPr>
                <w:attr w:name="ProductID" w:val="0,55 мм"/>
              </w:smartTagPr>
              <w:r w:rsidRPr="008A5774">
                <w:rPr>
                  <w:color w:val="000000"/>
                </w:rPr>
                <w:t>0,55 мм</w:t>
              </w:r>
            </w:smartTag>
            <w:r w:rsidRPr="008A5774">
              <w:rPr>
                <w:color w:val="000000"/>
              </w:rPr>
              <w:t xml:space="preserve"> на цокольной части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3,20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 xml:space="preserve">ОТМОСТКА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Разработка грунта вручную для устройства отмостки  группа грунтов 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9,52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Устройство песчаного основания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5774">
                <w:rPr>
                  <w:color w:val="000000"/>
                </w:rPr>
                <w:t>100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4,76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Устройство щебеночного основания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5774">
                <w:rPr>
                  <w:color w:val="000000"/>
                </w:rPr>
                <w:t>100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4,76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Устройство отмостки из бетона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5774">
                <w:rPr>
                  <w:color w:val="000000"/>
                </w:rPr>
                <w:t>100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4,76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0,31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Погрузка при автомобильных перевозках мусора строительного с погрузкой экскаваторами емкостью ковша до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8A5774">
                <w:rPr>
                  <w:color w:val="000000"/>
                </w:rPr>
                <w:t>0,5 м3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2,77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A5774">
                <w:rPr>
                  <w:color w:val="000000"/>
                </w:rPr>
                <w:t>15 км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3,25</w:t>
            </w:r>
          </w:p>
        </w:tc>
      </w:tr>
    </w:tbl>
    <w:p w:rsidR="009857B9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57B9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7B9" w:rsidRPr="00F53F95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4.  </w:t>
      </w:r>
      <w:r w:rsidRPr="00F53F9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7B9" w:rsidRPr="00202EEF" w:rsidRDefault="009857B9" w:rsidP="009857B9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/>
          <w:bCs/>
          <w:sz w:val="24"/>
          <w:szCs w:val="24"/>
        </w:rPr>
      </w:pPr>
      <w:r w:rsidRPr="00202EEF">
        <w:rPr>
          <w:rFonts w:ascii="Times New Roman" w:hAnsi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/>
          <w:bCs/>
          <w:sz w:val="24"/>
          <w:szCs w:val="24"/>
        </w:rPr>
        <w:t xml:space="preserve"> 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/>
          <w:sz w:val="24"/>
          <w:szCs w:val="24"/>
        </w:rPr>
        <w:t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материалов, не соответствующих ГОСТам, ТУ, не имеющих паспортов, сертификатов не допускается</w:t>
      </w:r>
      <w:r w:rsidRPr="00202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9857B9" w:rsidRPr="008A5774" w:rsidTr="00FA17E8">
        <w:trPr>
          <w:trHeight w:val="669"/>
          <w:tblHeader/>
        </w:trPr>
        <w:tc>
          <w:tcPr>
            <w:tcW w:w="568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9857B9" w:rsidRPr="008A5774" w:rsidTr="00FA17E8">
        <w:trPr>
          <w:trHeight w:val="215"/>
          <w:tblHeader/>
        </w:trPr>
        <w:tc>
          <w:tcPr>
            <w:tcW w:w="568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857B9" w:rsidRPr="008A5774" w:rsidTr="00FA17E8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Время высыхания до степени 3 при температуре (20±2) °С и влажности 65 %, ч, не более 1; Условная вязкость по вискозиметру 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D1536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 мм</w:t>
              </w:r>
            </w:smartTag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D1536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 мм</w:t>
              </w:r>
            </w:smartTag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9857B9" w:rsidRPr="008A5774" w:rsidTr="00FA17E8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Условная вязкость по вискозиметру типа ВЗ-246 с диаметром сопла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D1536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 мм</w:t>
              </w:r>
            </w:smartTag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9857B9" w:rsidRPr="008A5774" w:rsidTr="00FA17E8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D1536B" w:rsidRDefault="009857B9" w:rsidP="00FA1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7B9" w:rsidRPr="00202EEF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57B9" w:rsidRPr="00202EEF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9857B9" w:rsidRDefault="009857B9" w:rsidP="009857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D71">
        <w:rPr>
          <w:rFonts w:ascii="Times New Roman" w:hAnsi="Times New Roman"/>
          <w:sz w:val="24"/>
          <w:szCs w:val="24"/>
        </w:rPr>
        <w:t xml:space="preserve">Выполнение работ в соответствии с требованиями нормативной документации </w:t>
      </w:r>
      <w:r>
        <w:rPr>
          <w:rFonts w:ascii="Times New Roman" w:hAnsi="Times New Roman"/>
          <w:sz w:val="24"/>
          <w:szCs w:val="24"/>
        </w:rPr>
        <w:t>СНиП, ВСН, МДС.</w:t>
      </w:r>
      <w:r w:rsidRPr="00207E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57B9" w:rsidRPr="006D2D71" w:rsidRDefault="009857B9" w:rsidP="00985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</w:t>
      </w:r>
      <w:r w:rsidRPr="006D2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9857B9" w:rsidRDefault="009857B9" w:rsidP="009857B9">
      <w:pPr>
        <w:shd w:val="clear" w:color="auto" w:fill="FFFFFF"/>
        <w:spacing w:after="0" w:line="240" w:lineRule="auto"/>
        <w:textAlignment w:val="baseline"/>
        <w:rPr>
          <w:rStyle w:val="FontStyle29"/>
        </w:rPr>
      </w:pPr>
      <w:r w:rsidRPr="006D2D71">
        <w:rPr>
          <w:rStyle w:val="FontStyle29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</w:rPr>
        <w:t>.</w:t>
      </w:r>
    </w:p>
    <w:p w:rsidR="009857B9" w:rsidRPr="007E1FF0" w:rsidRDefault="009857B9" w:rsidP="009857B9">
      <w:pPr>
        <w:shd w:val="clear" w:color="auto" w:fill="FFFFFF"/>
        <w:spacing w:after="0" w:line="240" w:lineRule="auto"/>
        <w:textAlignment w:val="baseline"/>
        <w:rPr>
          <w:rStyle w:val="FontStyle29"/>
        </w:rPr>
      </w:pPr>
      <w:r w:rsidRPr="007E1FF0">
        <w:rPr>
          <w:rStyle w:val="FontStyle29"/>
        </w:rPr>
        <w:t xml:space="preserve">Допускается приступать к выполнению работ при </w:t>
      </w:r>
      <w:r>
        <w:rPr>
          <w:rStyle w:val="FontStyle29"/>
        </w:rPr>
        <w:t>ночной</w:t>
      </w:r>
      <w:r w:rsidRPr="007E1FF0">
        <w:rPr>
          <w:rStyle w:val="FontStyle29"/>
        </w:rPr>
        <w:t xml:space="preserve"> температуре воздуха не ниже +5, в течении 10 дней.</w:t>
      </w:r>
    </w:p>
    <w:p w:rsidR="009857B9" w:rsidRPr="006D2D71" w:rsidRDefault="009857B9" w:rsidP="009857B9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9857B9" w:rsidRPr="006D2D71" w:rsidRDefault="009857B9" w:rsidP="009857B9">
      <w:pPr>
        <w:shd w:val="clear" w:color="auto" w:fill="FFFFFF"/>
        <w:spacing w:after="0" w:line="240" w:lineRule="auto"/>
        <w:textAlignment w:val="baseline"/>
        <w:rPr>
          <w:rStyle w:val="FontStyle29"/>
        </w:rPr>
      </w:pPr>
    </w:p>
    <w:p w:rsidR="009857B9" w:rsidRPr="00F53F95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9857B9" w:rsidRPr="00BB5F04" w:rsidRDefault="009857B9" w:rsidP="009857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отром и фото фиксацией состояния.</w:t>
      </w:r>
    </w:p>
    <w:p w:rsidR="009857B9" w:rsidRPr="00D042B8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9857B9" w:rsidRPr="00F53F95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9857B9" w:rsidP="009857B9">
      <w:pPr>
        <w:spacing w:after="0" w:line="240" w:lineRule="auto"/>
        <w:jc w:val="both"/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ть.</w:t>
      </w:r>
      <w:r>
        <w:rPr>
          <w:rFonts w:ascii="Times New Roman" w:hAnsi="Times New Roman"/>
          <w:sz w:val="24"/>
          <w:szCs w:val="24"/>
        </w:rPr>
        <w:br w:type="page"/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83072"/>
    <w:rsid w:val="000A71A4"/>
    <w:rsid w:val="000D34CD"/>
    <w:rsid w:val="001461AB"/>
    <w:rsid w:val="00165D75"/>
    <w:rsid w:val="00167451"/>
    <w:rsid w:val="001850DD"/>
    <w:rsid w:val="001B1224"/>
    <w:rsid w:val="001C2F40"/>
    <w:rsid w:val="00202EEF"/>
    <w:rsid w:val="00233778"/>
    <w:rsid w:val="00281558"/>
    <w:rsid w:val="002929C7"/>
    <w:rsid w:val="002A3957"/>
    <w:rsid w:val="002C6B10"/>
    <w:rsid w:val="002E6808"/>
    <w:rsid w:val="00312795"/>
    <w:rsid w:val="00312914"/>
    <w:rsid w:val="00325B2A"/>
    <w:rsid w:val="003415B4"/>
    <w:rsid w:val="00373DA8"/>
    <w:rsid w:val="00394565"/>
    <w:rsid w:val="003A4440"/>
    <w:rsid w:val="003C666A"/>
    <w:rsid w:val="003D1B8F"/>
    <w:rsid w:val="003D45F1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D64E8"/>
    <w:rsid w:val="005F5DC1"/>
    <w:rsid w:val="00622D03"/>
    <w:rsid w:val="0066055C"/>
    <w:rsid w:val="00693661"/>
    <w:rsid w:val="006A3C56"/>
    <w:rsid w:val="006D2286"/>
    <w:rsid w:val="006D2D71"/>
    <w:rsid w:val="006E117E"/>
    <w:rsid w:val="006F61FA"/>
    <w:rsid w:val="00707FA1"/>
    <w:rsid w:val="00730096"/>
    <w:rsid w:val="00743995"/>
    <w:rsid w:val="0076725D"/>
    <w:rsid w:val="007C7335"/>
    <w:rsid w:val="007D6455"/>
    <w:rsid w:val="0081285C"/>
    <w:rsid w:val="00813851"/>
    <w:rsid w:val="00842116"/>
    <w:rsid w:val="008C66F7"/>
    <w:rsid w:val="008F5980"/>
    <w:rsid w:val="00910B78"/>
    <w:rsid w:val="00911303"/>
    <w:rsid w:val="00916BC0"/>
    <w:rsid w:val="00943393"/>
    <w:rsid w:val="00983C4C"/>
    <w:rsid w:val="009857B9"/>
    <w:rsid w:val="00993EB8"/>
    <w:rsid w:val="009B4A7A"/>
    <w:rsid w:val="009B56AA"/>
    <w:rsid w:val="009C569B"/>
    <w:rsid w:val="00A92973"/>
    <w:rsid w:val="00A932A8"/>
    <w:rsid w:val="00AC0253"/>
    <w:rsid w:val="00AF513C"/>
    <w:rsid w:val="00AF6A90"/>
    <w:rsid w:val="00B03B19"/>
    <w:rsid w:val="00B07B38"/>
    <w:rsid w:val="00B10916"/>
    <w:rsid w:val="00B53298"/>
    <w:rsid w:val="00B5355C"/>
    <w:rsid w:val="00B62C71"/>
    <w:rsid w:val="00BB29C2"/>
    <w:rsid w:val="00BB2BFE"/>
    <w:rsid w:val="00BB5F04"/>
    <w:rsid w:val="00BB6E49"/>
    <w:rsid w:val="00C16B1C"/>
    <w:rsid w:val="00C41E9C"/>
    <w:rsid w:val="00C43586"/>
    <w:rsid w:val="00C92229"/>
    <w:rsid w:val="00CC2A0A"/>
    <w:rsid w:val="00CE6107"/>
    <w:rsid w:val="00CF3B6C"/>
    <w:rsid w:val="00CF7063"/>
    <w:rsid w:val="00D20342"/>
    <w:rsid w:val="00D4096B"/>
    <w:rsid w:val="00D6071C"/>
    <w:rsid w:val="00D95DA9"/>
    <w:rsid w:val="00DB7529"/>
    <w:rsid w:val="00DC1370"/>
    <w:rsid w:val="00DD7BA3"/>
    <w:rsid w:val="00DE7314"/>
    <w:rsid w:val="00E077F3"/>
    <w:rsid w:val="00E07DBE"/>
    <w:rsid w:val="00EC1E27"/>
    <w:rsid w:val="00EC62C5"/>
    <w:rsid w:val="00F53F95"/>
    <w:rsid w:val="00F5555B"/>
    <w:rsid w:val="00F63AEA"/>
    <w:rsid w:val="00F742C8"/>
    <w:rsid w:val="00F82DD9"/>
    <w:rsid w:val="00F933CB"/>
    <w:rsid w:val="00FD3A52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156D-7DFE-4825-ABBC-854D4724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2</cp:revision>
  <cp:lastPrinted>2014-08-15T05:28:00Z</cp:lastPrinted>
  <dcterms:created xsi:type="dcterms:W3CDTF">2015-04-08T07:35:00Z</dcterms:created>
  <dcterms:modified xsi:type="dcterms:W3CDTF">2015-04-08T07:35:00Z</dcterms:modified>
</cp:coreProperties>
</file>