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204170000012300128</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РТС244А230119</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25.12.2023</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КАПИТАЛЬНОМУ РЕМОНТУ ОБЩЕГО ИМУЩЕСТВА МНОГОКВАРТИРНОГО ДОМА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204170000012300128</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РТС244А230119</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13.12.2023</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20.12.2023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21.12.2023</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25.12.2023 09:05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25.12.2023 09:29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1 497 730,00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1 342 000,00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25.12.2023 09:09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2</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"ПРОФРЕМСТРОЙ"</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4407013755</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1 350 000,00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25.12.2023 09:08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ИП ПРОХАНОВ АНДРЕЙ АЛЕКСАНДРОВИЧ</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523558252799</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Победителем электронного аукциона признается участник, предложивший наименьшую цену договора. В соответствии с пунктом 185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рекомендовать заказчику в течение 3 рабочих дней со дня подписания настоящего протокола передать победителю электронного аукциона проект договора об оказании услуг, который составляется путем включения цены договора об оказании услуг, предложенной победителем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