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204170000012400003</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РТС244В240002</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26.01.2024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выполнение работ по ремонту (замене, модернизации) лифтов в многоквартирных домах, расположенных на территории Костромской области</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204170000012400003</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РТС244В240002</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13.01.2024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22.01.2024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23.01.2024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26.01.2024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26.01.2024 09:28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2 965 701,21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2 772 930,58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26.01.2024 09:08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АО "ЩЛЗ"</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5051000880</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2 787 759,09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26.01.2024 09:08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ПО "ЕВРОЛИФТМАШ"</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5026015392</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Победителем электронного аукциона признается участник, предложивший наименьшую цену договора. В соответствии с пунктом 185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рекомендовать заказчику в течение 3 рабочих дней со дня подписания настоящего протокола передать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