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204170000012400047</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РТС244Г240043</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06.06.2024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РАЗРАБОТКЕ ПРОЕКТНОЙ ДОКУМЕНТАЦИИ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204170000012400047</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РТС244Г240043</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24.05.2024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31.05.2024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03.06.2024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06.06.2024 09:05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06.06.2024 09:25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1 240 320,00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1 234 118,40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06.06.2024 09:05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"ЭТ"</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4345342965</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