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204170000012400082</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РТС244А240078</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28.10.2024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204170000012400082</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РТС244А240078</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16.10.2024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23.10.2024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24.10.2024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28.10.2024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28.10.2024 09:20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3 622 530,00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3 604 417,35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28.10.2024 09:00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"ПРЕМСТРОЙ"</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4401189079</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